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84149E" w:rsidP="004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E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BC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C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71FC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схемы 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</w:t>
      </w:r>
    </w:p>
    <w:p w:rsidR="00E71FC8" w:rsidRDefault="00BC663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85420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тароладожское</w:t>
      </w:r>
      <w:proofErr w:type="spellEnd"/>
      <w:r w:rsidR="009854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63238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E71FC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>», руководствуясь частью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A448A">
        <w:rPr>
          <w:rFonts w:ascii="Times New Roman" w:eastAsia="Calibri" w:hAnsi="Times New Roman" w:cs="Times New Roman"/>
          <w:sz w:val="28"/>
          <w:szCs w:val="28"/>
        </w:rPr>
        <w:t>12</w:t>
      </w:r>
      <w:r w:rsidR="00E93FA0">
        <w:rPr>
          <w:rFonts w:ascii="Times New Roman" w:eastAsia="Calibri" w:hAnsi="Times New Roman" w:cs="Times New Roman"/>
          <w:sz w:val="28"/>
          <w:szCs w:val="28"/>
        </w:rPr>
        <w:t xml:space="preserve"> и ч</w:t>
      </w:r>
      <w:r w:rsidR="00617D53">
        <w:rPr>
          <w:rFonts w:ascii="Times New Roman" w:eastAsia="Calibri" w:hAnsi="Times New Roman" w:cs="Times New Roman"/>
          <w:sz w:val="28"/>
          <w:szCs w:val="28"/>
        </w:rPr>
        <w:t xml:space="preserve">астью </w:t>
      </w:r>
      <w:r w:rsidR="00E93FA0">
        <w:rPr>
          <w:rFonts w:ascii="Times New Roman" w:eastAsia="Calibri" w:hAnsi="Times New Roman" w:cs="Times New Roman"/>
          <w:sz w:val="28"/>
          <w:szCs w:val="28"/>
        </w:rPr>
        <w:t>2 ст</w:t>
      </w:r>
      <w:r w:rsidR="00617D53">
        <w:rPr>
          <w:rFonts w:ascii="Times New Roman" w:eastAsia="Calibri" w:hAnsi="Times New Roman" w:cs="Times New Roman"/>
          <w:sz w:val="28"/>
          <w:szCs w:val="28"/>
        </w:rPr>
        <w:t>атьи</w:t>
      </w:r>
      <w:r w:rsidR="00E93FA0">
        <w:rPr>
          <w:rFonts w:ascii="Times New Roman" w:eastAsia="Calibri" w:hAnsi="Times New Roman" w:cs="Times New Roman"/>
          <w:sz w:val="28"/>
          <w:szCs w:val="28"/>
        </w:rPr>
        <w:t xml:space="preserve"> 28 </w:t>
      </w:r>
      <w:r w:rsidRPr="0084149E"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 w:rsidR="00147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</w:t>
      </w:r>
      <w:r w:rsidR="00BC6638">
        <w:rPr>
          <w:rFonts w:ascii="Times New Roman" w:eastAsia="Calibri" w:hAnsi="Times New Roman" w:cs="Times New Roman"/>
          <w:sz w:val="28"/>
          <w:szCs w:val="28"/>
        </w:rPr>
        <w:t>тароладожского</w:t>
      </w:r>
      <w:proofErr w:type="spellEnd"/>
      <w:r w:rsidR="00DE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1. Определить схему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и графическое изображение схемы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по выборам депутатов совета депутатов</w:t>
      </w:r>
      <w:r w:rsidR="00BC66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C6638">
        <w:rPr>
          <w:rFonts w:ascii="Times New Roman" w:eastAsia="Calibri" w:hAnsi="Times New Roman" w:cs="Times New Roman"/>
          <w:sz w:val="28"/>
          <w:szCs w:val="28"/>
        </w:rPr>
        <w:t>Староладожское</w:t>
      </w:r>
      <w:proofErr w:type="spellEnd"/>
      <w:r w:rsidR="00BC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6377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7863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86377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согласно приложению 1,2.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совет депутатов</w:t>
      </w:r>
      <w:r w:rsidR="00BC66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C6638">
        <w:rPr>
          <w:rFonts w:ascii="Times New Roman" w:eastAsia="Calibri" w:hAnsi="Times New Roman" w:cs="Times New Roman"/>
          <w:sz w:val="28"/>
          <w:szCs w:val="28"/>
        </w:rPr>
        <w:t>Староладожское</w:t>
      </w:r>
      <w:proofErr w:type="spellEnd"/>
      <w:r w:rsidR="00BC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6377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7863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86377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для утверждения.</w:t>
      </w:r>
    </w:p>
    <w:p w:rsidR="0084149E" w:rsidRPr="0084149E" w:rsidRDefault="0084149E" w:rsidP="0084149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2034B">
        <w:rPr>
          <w:rFonts w:ascii="Times New Roman" w:eastAsia="Calibri" w:hAnsi="Times New Roman" w:cs="Times New Roman"/>
          <w:sz w:val="28"/>
          <w:szCs w:val="28"/>
        </w:rPr>
        <w:t>Поликарпову О.Н.</w:t>
      </w:r>
    </w:p>
    <w:p w:rsidR="0084149E" w:rsidRPr="0084149E" w:rsidRDefault="0084149E" w:rsidP="00841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149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Поли</w:t>
      </w:r>
      <w:r w:rsidR="00A2034B">
        <w:rPr>
          <w:rFonts w:ascii="Times New Roman" w:eastAsia="Calibri" w:hAnsi="Times New Roman" w:cs="Times New Roman"/>
          <w:sz w:val="28"/>
          <w:szCs w:val="24"/>
        </w:rPr>
        <w:t>карпова О.Н.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Секретарь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A2034B">
        <w:rPr>
          <w:rFonts w:ascii="Times New Roman" w:eastAsia="Calibri" w:hAnsi="Times New Roman" w:cs="Times New Roman"/>
          <w:sz w:val="28"/>
          <w:szCs w:val="24"/>
        </w:rPr>
        <w:t>Юганова</w:t>
      </w:r>
      <w:proofErr w:type="spellEnd"/>
      <w:r w:rsidR="00A2034B">
        <w:rPr>
          <w:rFonts w:ascii="Times New Roman" w:eastAsia="Calibri" w:hAnsi="Times New Roman" w:cs="Times New Roman"/>
          <w:sz w:val="28"/>
          <w:szCs w:val="24"/>
        </w:rPr>
        <w:t xml:space="preserve"> А.Н.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A2034B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A2034B">
        <w:rPr>
          <w:rFonts w:ascii="Times New Roman" w:eastAsia="Calibri" w:hAnsi="Times New Roman" w:cs="Times New Roman"/>
          <w:sz w:val="24"/>
          <w:szCs w:val="24"/>
        </w:rPr>
        <w:t>0</w:t>
      </w:r>
      <w:r w:rsidR="004E64EE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034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4B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20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BC6638">
        <w:rPr>
          <w:rFonts w:ascii="Times New Roman" w:eastAsia="Calibri" w:hAnsi="Times New Roman" w:cs="Times New Roman"/>
          <w:sz w:val="24"/>
          <w:szCs w:val="24"/>
        </w:rPr>
        <w:t>6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034B" w:rsidRDefault="00BA448A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одного </w:t>
      </w:r>
      <w:r w:rsidR="0084149E"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</w:t>
      </w:r>
    </w:p>
    <w:p w:rsidR="00387AF4" w:rsidRDefault="00BC663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Староладжожское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387AF4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638">
        <w:rPr>
          <w:rFonts w:ascii="Times New Roman" w:eastAsia="Calibri" w:hAnsi="Times New Roman" w:cs="Times New Roman"/>
          <w:sz w:val="28"/>
          <w:szCs w:val="28"/>
        </w:rPr>
        <w:t>1752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 w:rsidR="00BC6638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E6998" w:rsidRDefault="0084149E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  <w:r w:rsidR="00DE6998" w:rsidRPr="00DE69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3FA0" w:rsidRDefault="00E93FA0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98" w:rsidRDefault="00E93FA0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BC6638">
        <w:rPr>
          <w:rFonts w:ascii="Times New Roman" w:eastAsia="Calibri" w:hAnsi="Times New Roman" w:cs="Times New Roman"/>
          <w:b/>
          <w:sz w:val="28"/>
          <w:szCs w:val="28"/>
        </w:rPr>
        <w:t>тароладожский</w:t>
      </w:r>
      <w:proofErr w:type="spellEnd"/>
      <w:r w:rsidR="00BC66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2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6998" w:rsidRPr="0084149E">
        <w:rPr>
          <w:rFonts w:ascii="Times New Roman" w:eastAsia="Calibri" w:hAnsi="Times New Roman" w:cs="Times New Roman"/>
          <w:b/>
          <w:sz w:val="28"/>
          <w:szCs w:val="28"/>
        </w:rPr>
        <w:t>многомандатный избирательный округ №</w:t>
      </w:r>
      <w:r w:rsidR="00DE6998"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DE6998" w:rsidRDefault="00DE6998" w:rsidP="00CE24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>В границы</w:t>
      </w:r>
      <w:r w:rsidR="00786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6377">
        <w:rPr>
          <w:rFonts w:ascii="Times New Roman" w:eastAsia="Calibri" w:hAnsi="Times New Roman" w:cs="Times New Roman"/>
          <w:sz w:val="28"/>
          <w:szCs w:val="28"/>
        </w:rPr>
        <w:t>С</w:t>
      </w:r>
      <w:r w:rsidR="00BC6638">
        <w:rPr>
          <w:rFonts w:ascii="Times New Roman" w:eastAsia="Calibri" w:hAnsi="Times New Roman" w:cs="Times New Roman"/>
          <w:sz w:val="28"/>
          <w:szCs w:val="28"/>
        </w:rPr>
        <w:t>тароладожского</w:t>
      </w:r>
      <w:proofErr w:type="spellEnd"/>
      <w:r w:rsidR="00BC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r w:rsidR="00BC66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C6638">
        <w:rPr>
          <w:rFonts w:ascii="Times New Roman" w:eastAsia="Calibri" w:hAnsi="Times New Roman" w:cs="Times New Roman"/>
          <w:sz w:val="28"/>
          <w:szCs w:val="28"/>
        </w:rPr>
        <w:t>Староладожское</w:t>
      </w:r>
      <w:proofErr w:type="spellEnd"/>
      <w:r w:rsidR="00BC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</w:t>
      </w:r>
      <w:r w:rsidR="00BC6638">
        <w:rPr>
          <w:rFonts w:ascii="Times New Roman" w:eastAsia="Calibri" w:hAnsi="Times New Roman" w:cs="Times New Roman"/>
          <w:sz w:val="28"/>
          <w:szCs w:val="28"/>
        </w:rPr>
        <w:t>тароладожского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</w:t>
      </w:r>
      <w:r w:rsidR="00BC66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C6638">
        <w:rPr>
          <w:rFonts w:ascii="Times New Roman" w:eastAsia="Calibri" w:hAnsi="Times New Roman" w:cs="Times New Roman"/>
          <w:sz w:val="28"/>
          <w:szCs w:val="28"/>
        </w:rPr>
        <w:t>Староладожское</w:t>
      </w:r>
      <w:proofErr w:type="spellEnd"/>
      <w:r w:rsidR="00C30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9E517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E517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CE2429" w:rsidRDefault="00CE2429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998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9E5172" w:rsidRPr="009E5172" w:rsidRDefault="009E5172" w:rsidP="009E5172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 xml:space="preserve">Точка 1 расположена на изломе северной границы лесного квартала 25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 в месте примыкания восточной границы квартала 206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Колчановского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9E5172" w:rsidRPr="009E5172" w:rsidRDefault="009E5172" w:rsidP="009E5172">
      <w:pPr>
        <w:pStyle w:val="ConsPlusTitle"/>
        <w:numPr>
          <w:ilvl w:val="0"/>
          <w:numId w:val="19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Колчановским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 xml:space="preserve">От точки 1 до точки 26 по границам лесных кварталов 25, 26, 27, 36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железной дороги Санкт-Петербург - Мга - Волховстрой - Лодейное Поле - Подпорожье - Петрозаводск - Мурманск, не пересекая ее.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>От точки 26 до точки 41 по границе полосы отвода железной дороги Санкт-Петербург - Мга - Волховстрой - Лодейное Поле - Подпорожье - Петрозаводск - Мурманск.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72">
        <w:rPr>
          <w:rFonts w:ascii="Times New Roman" w:hAnsi="Times New Roman" w:cs="Times New Roman"/>
          <w:sz w:val="28"/>
          <w:szCs w:val="28"/>
        </w:rPr>
        <w:t xml:space="preserve">От точки 41 до точки 44, пересекая полосу отвода железной дороги </w:t>
      </w:r>
      <w:r w:rsidRPr="009E5172">
        <w:rPr>
          <w:rFonts w:ascii="Times New Roman" w:hAnsi="Times New Roman" w:cs="Times New Roman"/>
          <w:sz w:val="28"/>
          <w:szCs w:val="28"/>
        </w:rPr>
        <w:lastRenderedPageBreak/>
        <w:t>Санкт-Петербург - Мга - Волховстрой - Лодейное Поле - Подпорожье - Петрозаводск - Мурманск, по границе полосы отвода железной дороги Санкт-Петербург - Мга - Волховстрой - Лодейное Поле - Подпорожье - Петрозаводск - Мурманск.</w:t>
      </w:r>
      <w:proofErr w:type="gramEnd"/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72">
        <w:rPr>
          <w:rFonts w:ascii="Times New Roman" w:hAnsi="Times New Roman" w:cs="Times New Roman"/>
          <w:sz w:val="28"/>
          <w:szCs w:val="28"/>
        </w:rPr>
        <w:t xml:space="preserve">От точки 44 до точки 63, не пересекая полосу отвода железной дороги Санкт-Петербург - Мга - Волховстрой - Лодейное Поле - Подпорожье - Петрозаводск - Мурманск, по границе лесного квартала 67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134, 140, 147, 156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границе лесного квартала 115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лесничества.</w:t>
      </w:r>
      <w:proofErr w:type="gramEnd"/>
    </w:p>
    <w:p w:rsidR="009E5172" w:rsidRPr="009E5172" w:rsidRDefault="009E5172" w:rsidP="009E5172">
      <w:pPr>
        <w:pStyle w:val="ConsPlusTitle"/>
        <w:numPr>
          <w:ilvl w:val="0"/>
          <w:numId w:val="19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Усадищенским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 xml:space="preserve">От точки 63 до точки 82 по границам лесных кварталов 115, 114, 113, 112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9E5172" w:rsidRPr="009E5172" w:rsidRDefault="009E5172" w:rsidP="009E5172">
      <w:pPr>
        <w:pStyle w:val="ConsPlusTitle"/>
        <w:numPr>
          <w:ilvl w:val="0"/>
          <w:numId w:val="19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Волховским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городским поселением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 xml:space="preserve">От точки 82 до точки 86 по границам лесных кварталов 111, 96, 94, 79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автомобильной дороги федерального значения А-114 Вологда - Тихвин - автомобильная дорога Р-21 "Кола" (строящийся участок), не пересекая ее.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>От точки 86 до точки 111 по границе полосы отвода автомобильной дороги федерального значения А-114 Вологда - Тихвин - автомобильная дорога Р-21 "Кола" (строящийся участок).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>От точки 111 до точки 117, не пересекая полосу отвода автомобильной дороги федерального значения А-114 Вологда - Тихвин - автомобильная дорога Р-21 "Кола", по линиям, последовательно соединяющим точки, до полосы отвода автомобильной дороги федерального значения А-114 Вологда - Тихвин - автомобильная дорога Р-21 "Кола", не пересекая ее.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>От точки 117 до точки 157 по границе полосы отвода автомобильной дороги федерального значения А-114 Вологда - Тихвин - автомобильная дорога Р-21 "Кола".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72">
        <w:rPr>
          <w:rFonts w:ascii="Times New Roman" w:hAnsi="Times New Roman" w:cs="Times New Roman"/>
          <w:sz w:val="28"/>
          <w:szCs w:val="28"/>
        </w:rPr>
        <w:t xml:space="preserve">От точки 157 до точки 164, не пересекая полосу отвода автомобильной дороги федерального значения А-114 Вологда - Тихвин - автомобильная дорога Р-21 "Кола", по границам лесных кварталов 59, 58, 73, 88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автомобильной дороги регионального значения 41К-055 Волхов -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Кисельня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- Черноушево, пересекая ее, далее по границе полосы отвода автомобильной дороги регионального значения 41К-055 Волхов -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Кисельня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- Черноушево.</w:t>
      </w:r>
      <w:proofErr w:type="gramEnd"/>
    </w:p>
    <w:p w:rsidR="009E5172" w:rsidRPr="009E5172" w:rsidRDefault="009E5172" w:rsidP="009E5172">
      <w:pPr>
        <w:pStyle w:val="ConsPlusTitle"/>
        <w:numPr>
          <w:ilvl w:val="0"/>
          <w:numId w:val="19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Кисельнинским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 xml:space="preserve">От точки 164 до точки 179 по границе полосы отвода автомобильной дороги регионального значения 41К-055 Волхов -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Кисельня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- Черноушево.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72">
        <w:rPr>
          <w:rFonts w:ascii="Times New Roman" w:hAnsi="Times New Roman" w:cs="Times New Roman"/>
          <w:sz w:val="28"/>
          <w:szCs w:val="28"/>
        </w:rPr>
        <w:t xml:space="preserve">От точки 179 до точки 234, пересекая полосу отвода автомобильной дороги регионального значения 41К-055 Волхов -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Кисельня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- Черноушево, по границам лесных кварталов 43, 37, 28, 20, 13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автомобильной </w:t>
      </w:r>
      <w:r w:rsidRPr="009E5172">
        <w:rPr>
          <w:rFonts w:ascii="Times New Roman" w:hAnsi="Times New Roman" w:cs="Times New Roman"/>
          <w:sz w:val="28"/>
          <w:szCs w:val="28"/>
        </w:rPr>
        <w:lastRenderedPageBreak/>
        <w:t>дороги федерального значения Р-21 "Кола" Санкт-Петербург - Петрозаводск - Мурманск - Печенга - граница с Королевством Норвегия, не пересекая ее.</w:t>
      </w:r>
      <w:proofErr w:type="gramEnd"/>
    </w:p>
    <w:p w:rsidR="009E5172" w:rsidRPr="009E5172" w:rsidRDefault="009E5172" w:rsidP="009E5172">
      <w:pPr>
        <w:pStyle w:val="ConsPlusTitle"/>
        <w:numPr>
          <w:ilvl w:val="0"/>
          <w:numId w:val="19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9E5172">
        <w:rPr>
          <w:rFonts w:ascii="Times New Roman" w:hAnsi="Times New Roman" w:cs="Times New Roman"/>
          <w:b w:val="0"/>
          <w:sz w:val="28"/>
          <w:szCs w:val="28"/>
        </w:rPr>
        <w:t>Иссадским</w:t>
      </w:r>
      <w:proofErr w:type="spellEnd"/>
      <w:r w:rsidRPr="009E5172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>От точки 234 до точки 319 по границе полосы отвода автомобильной дороги федерального значения Р-21 "Кола" Санкт-Петербург - Петрозаводск - Мурманск - Печенга - граница с Королевством Норвегия.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 xml:space="preserve">От точки 319 до точки 326, не пересекая полосу отвода автомобильной дороги федерального значения Р-21 "Кола" Санкт-Петербург - Петрозаводск - Мурманск - Печенга - граница с Королевством Норвегия, по границам лесных кварталов 7, 8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>От точки 326 до точки 338 по линиям, последовательно соединяющим точки, до линии, равноудаленной от берегов реки Волхов.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>От точки 338 до точки 358 по линии, равноудаленной от берегов реки Волхов.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 xml:space="preserve">От точки 358 до точки 375 от линии, равноудаленной от берегов реки Волхов, по линиям, последовательно соединяющим точки, до границы лесного квартала 21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9E5172" w:rsidRPr="009E5172" w:rsidRDefault="009E5172" w:rsidP="009E5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172">
        <w:rPr>
          <w:rFonts w:ascii="Times New Roman" w:hAnsi="Times New Roman" w:cs="Times New Roman"/>
          <w:sz w:val="28"/>
          <w:szCs w:val="28"/>
        </w:rPr>
        <w:t xml:space="preserve">От точки 375 до точки 1 по границам лесных кварталов 21, 22, 23, 24, 25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9E517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5172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84149E" w:rsidRPr="0084149E" w:rsidRDefault="0084149E" w:rsidP="00DE69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1927" w:rsidRPr="00D51927" w:rsidRDefault="00D51927" w:rsidP="00DE69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E93FA0" w:rsidRPr="009E5172" w:rsidRDefault="00D51927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377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Ахматова Гора, </w:t>
      </w:r>
      <w:proofErr w:type="spellStart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Балкова</w:t>
      </w:r>
      <w:proofErr w:type="spellEnd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Гора, </w:t>
      </w:r>
      <w:proofErr w:type="spellStart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Велеша</w:t>
      </w:r>
      <w:proofErr w:type="spellEnd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, Зеленая Долина, Ивановский Остров</w:t>
      </w:r>
      <w:r w:rsidR="009E5172">
        <w:rPr>
          <w:rFonts w:ascii="Times New Roman" w:hAnsi="Times New Roman" w:cs="Times New Roman"/>
          <w:b w:val="0"/>
          <w:sz w:val="28"/>
          <w:szCs w:val="28"/>
        </w:rPr>
        <w:t>,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Извоз, </w:t>
      </w:r>
      <w:proofErr w:type="spellStart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Княщина</w:t>
      </w:r>
      <w:proofErr w:type="spellEnd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Лопино</w:t>
      </w:r>
      <w:proofErr w:type="spellEnd"/>
      <w:r w:rsidR="009E5172">
        <w:rPr>
          <w:rFonts w:ascii="Times New Roman" w:hAnsi="Times New Roman" w:cs="Times New Roman"/>
          <w:b w:val="0"/>
          <w:sz w:val="28"/>
          <w:szCs w:val="28"/>
        </w:rPr>
        <w:t>,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Межумошье</w:t>
      </w:r>
      <w:proofErr w:type="spellEnd"/>
      <w:r w:rsidR="009E5172">
        <w:rPr>
          <w:rFonts w:ascii="Times New Roman" w:hAnsi="Times New Roman" w:cs="Times New Roman"/>
          <w:b w:val="0"/>
          <w:sz w:val="28"/>
          <w:szCs w:val="28"/>
        </w:rPr>
        <w:t>,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Местовка</w:t>
      </w:r>
      <w:proofErr w:type="spellEnd"/>
      <w:r w:rsidR="009E5172">
        <w:rPr>
          <w:rFonts w:ascii="Times New Roman" w:hAnsi="Times New Roman" w:cs="Times New Roman"/>
          <w:b w:val="0"/>
          <w:sz w:val="28"/>
          <w:szCs w:val="28"/>
        </w:rPr>
        <w:t>,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Мякинкино</w:t>
      </w:r>
      <w:proofErr w:type="spellEnd"/>
      <w:r w:rsidR="009E5172">
        <w:rPr>
          <w:rFonts w:ascii="Times New Roman" w:hAnsi="Times New Roman" w:cs="Times New Roman"/>
          <w:b w:val="0"/>
          <w:sz w:val="28"/>
          <w:szCs w:val="28"/>
        </w:rPr>
        <w:t>,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Обухово</w:t>
      </w:r>
      <w:r w:rsidR="009E5172">
        <w:rPr>
          <w:rFonts w:ascii="Times New Roman" w:hAnsi="Times New Roman" w:cs="Times New Roman"/>
          <w:b w:val="0"/>
          <w:sz w:val="28"/>
          <w:szCs w:val="28"/>
        </w:rPr>
        <w:t>,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Подол</w:t>
      </w:r>
      <w:r w:rsidR="009E5172">
        <w:rPr>
          <w:rFonts w:ascii="Times New Roman" w:hAnsi="Times New Roman" w:cs="Times New Roman"/>
          <w:b w:val="0"/>
          <w:sz w:val="28"/>
          <w:szCs w:val="28"/>
        </w:rPr>
        <w:t>,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Сельцо-Горка</w:t>
      </w:r>
      <w:r w:rsidR="009E5172">
        <w:rPr>
          <w:rFonts w:ascii="Times New Roman" w:hAnsi="Times New Roman" w:cs="Times New Roman"/>
          <w:b w:val="0"/>
          <w:sz w:val="28"/>
          <w:szCs w:val="28"/>
        </w:rPr>
        <w:t>,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Трусово</w:t>
      </w:r>
      <w:proofErr w:type="spellEnd"/>
      <w:r w:rsidR="009E5172">
        <w:rPr>
          <w:rFonts w:ascii="Times New Roman" w:hAnsi="Times New Roman" w:cs="Times New Roman"/>
          <w:b w:val="0"/>
          <w:sz w:val="28"/>
          <w:szCs w:val="28"/>
        </w:rPr>
        <w:t>,</w:t>
      </w:r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5172" w:rsidRPr="009E5172">
        <w:rPr>
          <w:rFonts w:ascii="Times New Roman" w:hAnsi="Times New Roman" w:cs="Times New Roman"/>
          <w:b w:val="0"/>
          <w:sz w:val="28"/>
          <w:szCs w:val="28"/>
        </w:rPr>
        <w:t>Чернавино</w:t>
      </w:r>
      <w:proofErr w:type="spellEnd"/>
    </w:p>
    <w:p w:rsidR="00E93FA0" w:rsidRPr="009E5172" w:rsidRDefault="009E5172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172">
        <w:rPr>
          <w:rFonts w:ascii="Times New Roman" w:hAnsi="Times New Roman" w:cs="Times New Roman"/>
          <w:b w:val="0"/>
          <w:i/>
          <w:sz w:val="28"/>
          <w:szCs w:val="28"/>
        </w:rPr>
        <w:t>Села:</w:t>
      </w:r>
      <w:r w:rsidR="00663238" w:rsidRPr="009E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172">
        <w:rPr>
          <w:rFonts w:ascii="Times New Roman" w:hAnsi="Times New Roman" w:cs="Times New Roman"/>
          <w:b w:val="0"/>
          <w:sz w:val="28"/>
          <w:szCs w:val="28"/>
        </w:rPr>
        <w:t>Старая Ладога</w:t>
      </w:r>
    </w:p>
    <w:p w:rsidR="00330AD7" w:rsidRDefault="00330AD7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2" w:rsidRDefault="009E5172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E0464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E04648">
        <w:rPr>
          <w:rFonts w:ascii="Times New Roman" w:eastAsia="Calibri" w:hAnsi="Times New Roman" w:cs="Times New Roman"/>
          <w:sz w:val="24"/>
          <w:szCs w:val="24"/>
        </w:rPr>
        <w:t>0</w:t>
      </w:r>
      <w:r w:rsidR="004E64EE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464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4648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04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BC6638">
        <w:rPr>
          <w:rFonts w:ascii="Times New Roman" w:eastAsia="Calibri" w:hAnsi="Times New Roman" w:cs="Times New Roman"/>
          <w:sz w:val="24"/>
          <w:szCs w:val="24"/>
        </w:rPr>
        <w:t>6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9E5172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  <w:r w:rsidR="009E51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67922" w:rsidRDefault="009E5172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Староладожское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467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467922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D57" w:rsidRPr="00AD409D" w:rsidRDefault="00E20398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9269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_населенных_пункт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D57" w:rsidRPr="00AD409D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BB" w:rsidRDefault="009149BB" w:rsidP="009C1EDA">
      <w:pPr>
        <w:spacing w:after="0" w:line="240" w:lineRule="auto"/>
      </w:pPr>
      <w:r>
        <w:separator/>
      </w:r>
    </w:p>
  </w:endnote>
  <w:endnote w:type="continuationSeparator" w:id="0">
    <w:p w:rsidR="009149BB" w:rsidRDefault="009149BB" w:rsidP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BB" w:rsidRDefault="009149BB" w:rsidP="009C1EDA">
      <w:pPr>
        <w:spacing w:after="0" w:line="240" w:lineRule="auto"/>
      </w:pPr>
      <w:r>
        <w:separator/>
      </w:r>
    </w:p>
  </w:footnote>
  <w:footnote w:type="continuationSeparator" w:id="0">
    <w:p w:rsidR="009149BB" w:rsidRDefault="009149BB" w:rsidP="009C1EDA">
      <w:pPr>
        <w:spacing w:after="0" w:line="240" w:lineRule="auto"/>
      </w:pPr>
      <w:r>
        <w:continuationSeparator/>
      </w:r>
    </w:p>
  </w:footnote>
  <w:footnote w:id="1">
    <w:p w:rsidR="00DE6998" w:rsidRDefault="00DE6998" w:rsidP="00DE6998">
      <w:pPr>
        <w:pStyle w:val="a8"/>
      </w:pPr>
      <w:r>
        <w:rPr>
          <w:rStyle w:val="aa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CC"/>
    <w:multiLevelType w:val="hybridMultilevel"/>
    <w:tmpl w:val="156AF906"/>
    <w:lvl w:ilvl="0" w:tplc="9408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B59AC"/>
    <w:multiLevelType w:val="hybridMultilevel"/>
    <w:tmpl w:val="EB1290A2"/>
    <w:lvl w:ilvl="0" w:tplc="EA4AD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782D"/>
    <w:multiLevelType w:val="hybridMultilevel"/>
    <w:tmpl w:val="627A6D98"/>
    <w:lvl w:ilvl="0" w:tplc="A1AE3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2F174D"/>
    <w:multiLevelType w:val="hybridMultilevel"/>
    <w:tmpl w:val="F474BD8C"/>
    <w:lvl w:ilvl="0" w:tplc="A9D87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94323"/>
    <w:multiLevelType w:val="hybridMultilevel"/>
    <w:tmpl w:val="B032DA06"/>
    <w:lvl w:ilvl="0" w:tplc="8D22B3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DF3DC2"/>
    <w:multiLevelType w:val="hybridMultilevel"/>
    <w:tmpl w:val="6D8899BE"/>
    <w:lvl w:ilvl="0" w:tplc="E3F8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445D4A"/>
    <w:multiLevelType w:val="hybridMultilevel"/>
    <w:tmpl w:val="3B488ECE"/>
    <w:lvl w:ilvl="0" w:tplc="BBDA3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0979"/>
    <w:multiLevelType w:val="hybridMultilevel"/>
    <w:tmpl w:val="16540CF6"/>
    <w:lvl w:ilvl="0" w:tplc="7CCE5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737064"/>
    <w:multiLevelType w:val="hybridMultilevel"/>
    <w:tmpl w:val="1488FFCC"/>
    <w:lvl w:ilvl="0" w:tplc="5F6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8677E"/>
    <w:multiLevelType w:val="hybridMultilevel"/>
    <w:tmpl w:val="81621818"/>
    <w:lvl w:ilvl="0" w:tplc="3E06D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D1230"/>
    <w:multiLevelType w:val="hybridMultilevel"/>
    <w:tmpl w:val="D7DC93E8"/>
    <w:lvl w:ilvl="0" w:tplc="3F0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6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06EE0"/>
    <w:rsid w:val="000346C6"/>
    <w:rsid w:val="000C4E02"/>
    <w:rsid w:val="000D49CC"/>
    <w:rsid w:val="000F335E"/>
    <w:rsid w:val="00112B8F"/>
    <w:rsid w:val="00132941"/>
    <w:rsid w:val="001340D8"/>
    <w:rsid w:val="00147DBB"/>
    <w:rsid w:val="001707A2"/>
    <w:rsid w:val="001B5C12"/>
    <w:rsid w:val="001B77B7"/>
    <w:rsid w:val="001C0934"/>
    <w:rsid w:val="001C5BAC"/>
    <w:rsid w:val="001D3268"/>
    <w:rsid w:val="001E3331"/>
    <w:rsid w:val="001E74A0"/>
    <w:rsid w:val="00273663"/>
    <w:rsid w:val="00280159"/>
    <w:rsid w:val="00307658"/>
    <w:rsid w:val="00330AD7"/>
    <w:rsid w:val="003679B9"/>
    <w:rsid w:val="0037243F"/>
    <w:rsid w:val="0038497B"/>
    <w:rsid w:val="00387AF4"/>
    <w:rsid w:val="003C192C"/>
    <w:rsid w:val="003D24B8"/>
    <w:rsid w:val="004120B2"/>
    <w:rsid w:val="0044720E"/>
    <w:rsid w:val="00464B46"/>
    <w:rsid w:val="00467922"/>
    <w:rsid w:val="0048505A"/>
    <w:rsid w:val="004A4161"/>
    <w:rsid w:val="004C18F1"/>
    <w:rsid w:val="004C360E"/>
    <w:rsid w:val="004E64EE"/>
    <w:rsid w:val="00553046"/>
    <w:rsid w:val="00565349"/>
    <w:rsid w:val="00581FA9"/>
    <w:rsid w:val="00591EE8"/>
    <w:rsid w:val="005F4A0B"/>
    <w:rsid w:val="00603536"/>
    <w:rsid w:val="00615FCF"/>
    <w:rsid w:val="00617D53"/>
    <w:rsid w:val="00663238"/>
    <w:rsid w:val="0071287F"/>
    <w:rsid w:val="00737D4F"/>
    <w:rsid w:val="00786377"/>
    <w:rsid w:val="007C404F"/>
    <w:rsid w:val="007D369F"/>
    <w:rsid w:val="0084149E"/>
    <w:rsid w:val="00870FC9"/>
    <w:rsid w:val="00894CF8"/>
    <w:rsid w:val="008B2B7D"/>
    <w:rsid w:val="008C2DE2"/>
    <w:rsid w:val="009149BB"/>
    <w:rsid w:val="009260C3"/>
    <w:rsid w:val="00931E60"/>
    <w:rsid w:val="00942C40"/>
    <w:rsid w:val="00985420"/>
    <w:rsid w:val="009B4D57"/>
    <w:rsid w:val="009C1EDA"/>
    <w:rsid w:val="009E1328"/>
    <w:rsid w:val="009E5172"/>
    <w:rsid w:val="00A02C29"/>
    <w:rsid w:val="00A14064"/>
    <w:rsid w:val="00A2034B"/>
    <w:rsid w:val="00A75F64"/>
    <w:rsid w:val="00AB77D8"/>
    <w:rsid w:val="00AD409D"/>
    <w:rsid w:val="00AE6BC1"/>
    <w:rsid w:val="00B07BFE"/>
    <w:rsid w:val="00B259A6"/>
    <w:rsid w:val="00B46572"/>
    <w:rsid w:val="00B64D2A"/>
    <w:rsid w:val="00B778F5"/>
    <w:rsid w:val="00B92215"/>
    <w:rsid w:val="00BA448A"/>
    <w:rsid w:val="00BB6148"/>
    <w:rsid w:val="00BC6638"/>
    <w:rsid w:val="00BE334B"/>
    <w:rsid w:val="00C30214"/>
    <w:rsid w:val="00C667B4"/>
    <w:rsid w:val="00CB370F"/>
    <w:rsid w:val="00CE2429"/>
    <w:rsid w:val="00D31B80"/>
    <w:rsid w:val="00D51927"/>
    <w:rsid w:val="00D61F4E"/>
    <w:rsid w:val="00DA1D6F"/>
    <w:rsid w:val="00DC3013"/>
    <w:rsid w:val="00DD33D0"/>
    <w:rsid w:val="00DE6998"/>
    <w:rsid w:val="00DF3872"/>
    <w:rsid w:val="00E04648"/>
    <w:rsid w:val="00E15D7F"/>
    <w:rsid w:val="00E20398"/>
    <w:rsid w:val="00E31AF0"/>
    <w:rsid w:val="00E40658"/>
    <w:rsid w:val="00E47D9C"/>
    <w:rsid w:val="00E71FC8"/>
    <w:rsid w:val="00E931CB"/>
    <w:rsid w:val="00E93FA0"/>
    <w:rsid w:val="00EA1E51"/>
    <w:rsid w:val="00EA7DA1"/>
    <w:rsid w:val="00ED0D94"/>
    <w:rsid w:val="00F05682"/>
    <w:rsid w:val="00F276C3"/>
    <w:rsid w:val="00F70DEB"/>
    <w:rsid w:val="00F86D79"/>
    <w:rsid w:val="00FA210F"/>
    <w:rsid w:val="00FC0B4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FEEC-30D6-473D-ADAA-EACE3D89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49</cp:revision>
  <cp:lastPrinted>2021-12-24T11:14:00Z</cp:lastPrinted>
  <dcterms:created xsi:type="dcterms:W3CDTF">2019-10-14T06:46:00Z</dcterms:created>
  <dcterms:modified xsi:type="dcterms:W3CDTF">2023-09-06T15:00:00Z</dcterms:modified>
</cp:coreProperties>
</file>