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C2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2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9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985420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942C40">
        <w:rPr>
          <w:rFonts w:ascii="Times New Roman" w:eastAsia="Calibri" w:hAnsi="Times New Roman" w:cs="Times New Roman"/>
          <w:b/>
          <w:bCs/>
          <w:sz w:val="28"/>
          <w:szCs w:val="28"/>
        </w:rPr>
        <w:t>еливановского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ельско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12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и ч</w:t>
      </w:r>
      <w:r w:rsidR="00617D53">
        <w:rPr>
          <w:rFonts w:ascii="Times New Roman" w:eastAsia="Calibri" w:hAnsi="Times New Roman" w:cs="Times New Roman"/>
          <w:sz w:val="28"/>
          <w:szCs w:val="28"/>
        </w:rPr>
        <w:t xml:space="preserve">астью </w:t>
      </w:r>
      <w:r w:rsidR="00E93FA0">
        <w:rPr>
          <w:rFonts w:ascii="Times New Roman" w:eastAsia="Calibri" w:hAnsi="Times New Roman" w:cs="Times New Roman"/>
          <w:sz w:val="28"/>
          <w:szCs w:val="28"/>
        </w:rPr>
        <w:t>2 ст</w:t>
      </w:r>
      <w:r w:rsidR="00617D53">
        <w:rPr>
          <w:rFonts w:ascii="Times New Roman" w:eastAsia="Calibri" w:hAnsi="Times New Roman" w:cs="Times New Roman"/>
          <w:sz w:val="28"/>
          <w:szCs w:val="28"/>
        </w:rPr>
        <w:t>атьи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r w:rsidRPr="0084149E"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 w:rsidR="00147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4120B2">
        <w:rPr>
          <w:rFonts w:ascii="Times New Roman" w:eastAsia="Calibri" w:hAnsi="Times New Roman" w:cs="Times New Roman"/>
          <w:sz w:val="28"/>
          <w:szCs w:val="28"/>
        </w:rPr>
        <w:t>еливановского</w:t>
      </w:r>
      <w:proofErr w:type="spellEnd"/>
      <w:r w:rsidR="00DE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Определить схему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и графическое изображение схемы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по выборам депутатов совета депутатов</w:t>
      </w:r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4120B2">
        <w:rPr>
          <w:rFonts w:ascii="Times New Roman" w:eastAsia="Calibri" w:hAnsi="Times New Roman" w:cs="Times New Roman"/>
          <w:sz w:val="28"/>
          <w:szCs w:val="28"/>
        </w:rPr>
        <w:t>еливановского</w:t>
      </w:r>
      <w:proofErr w:type="spellEnd"/>
      <w:r w:rsidR="00412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786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6377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4120B2">
        <w:rPr>
          <w:rFonts w:ascii="Times New Roman" w:eastAsia="Calibri" w:hAnsi="Times New Roman" w:cs="Times New Roman"/>
          <w:sz w:val="28"/>
          <w:szCs w:val="28"/>
        </w:rPr>
        <w:t>еливановского</w:t>
      </w:r>
      <w:proofErr w:type="spellEnd"/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786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6377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C207D1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942C4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BA448A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одного </w:t>
      </w:r>
      <w:r w:rsidR="0084149E"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786377">
        <w:rPr>
          <w:rFonts w:ascii="Times New Roman" w:eastAsia="Calibri" w:hAnsi="Times New Roman" w:cs="Times New Roman"/>
          <w:b/>
          <w:bCs/>
          <w:sz w:val="28"/>
          <w:szCs w:val="28"/>
        </w:rPr>
        <w:t>еливновского</w:t>
      </w:r>
      <w:proofErr w:type="spellEnd"/>
      <w:r w:rsidR="007863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377">
        <w:rPr>
          <w:rFonts w:ascii="Times New Roman" w:eastAsia="Calibri" w:hAnsi="Times New Roman" w:cs="Times New Roman"/>
          <w:sz w:val="28"/>
          <w:szCs w:val="28"/>
        </w:rPr>
        <w:t>738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E93FA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3FA0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86377">
        <w:rPr>
          <w:rFonts w:ascii="Times New Roman" w:eastAsia="Calibri" w:hAnsi="Times New Roman" w:cs="Times New Roman"/>
          <w:b/>
          <w:sz w:val="28"/>
          <w:szCs w:val="28"/>
        </w:rPr>
        <w:t>еливановский</w:t>
      </w:r>
      <w:proofErr w:type="spellEnd"/>
      <w:r w:rsidR="00CE2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998" w:rsidRPr="0084149E">
        <w:rPr>
          <w:rFonts w:ascii="Times New Roman" w:eastAsia="Calibri" w:hAnsi="Times New Roman" w:cs="Times New Roman"/>
          <w:b/>
          <w:sz w:val="28"/>
          <w:szCs w:val="28"/>
        </w:rPr>
        <w:t>многомандатный избирательный округ №</w:t>
      </w:r>
      <w:r w:rsidR="00DE6998"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CE2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>В границы</w:t>
      </w:r>
      <w:r w:rsidR="00786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786377">
        <w:rPr>
          <w:rFonts w:ascii="Times New Roman" w:eastAsia="Calibri" w:hAnsi="Times New Roman" w:cs="Times New Roman"/>
          <w:sz w:val="28"/>
          <w:szCs w:val="28"/>
        </w:rPr>
        <w:t>еливановского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786377">
        <w:rPr>
          <w:rFonts w:ascii="Times New Roman" w:eastAsia="Calibri" w:hAnsi="Times New Roman" w:cs="Times New Roman"/>
          <w:sz w:val="28"/>
          <w:szCs w:val="28"/>
        </w:rPr>
        <w:t>еливановского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786377">
        <w:rPr>
          <w:rFonts w:ascii="Times New Roman" w:eastAsia="Calibri" w:hAnsi="Times New Roman" w:cs="Times New Roman"/>
          <w:sz w:val="28"/>
          <w:szCs w:val="28"/>
        </w:rPr>
        <w:t>еливановского</w:t>
      </w:r>
      <w:proofErr w:type="spellEnd"/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CE2429" w:rsidRDefault="00CE2429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98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786377" w:rsidRPr="00786377" w:rsidRDefault="00786377" w:rsidP="0078637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северной и восточной границ лесного квартала 9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786377" w:rsidRPr="00786377" w:rsidRDefault="00786377" w:rsidP="00786377">
      <w:pPr>
        <w:pStyle w:val="ConsPlusTitle"/>
        <w:numPr>
          <w:ilvl w:val="0"/>
          <w:numId w:val="18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786377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786377">
        <w:rPr>
          <w:rFonts w:ascii="Times New Roman" w:hAnsi="Times New Roman" w:cs="Times New Roman"/>
          <w:b w:val="0"/>
          <w:sz w:val="28"/>
          <w:szCs w:val="28"/>
        </w:rPr>
        <w:t>Колчановским</w:t>
      </w:r>
      <w:proofErr w:type="spellEnd"/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 xml:space="preserve">От точки 1 до точки 102 по границам лесных кварталов 9, 36, 52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64, 70, 69, 78, 82, 92, 91, 90, 89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 xml:space="preserve">От точки 102 до точки 117 по границам лесных кварталов 89, 79, 76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железной дороги Санкт-Петербург - Мга - Волховстрой - Лодейное Поле - Подпорожье - Петрозаводск - Мурманск, пересекая ее.</w:t>
      </w:r>
    </w:p>
    <w:p w:rsidR="00786377" w:rsidRPr="00786377" w:rsidRDefault="00786377" w:rsidP="00786377">
      <w:pPr>
        <w:pStyle w:val="ConsPlusTitle"/>
        <w:numPr>
          <w:ilvl w:val="0"/>
          <w:numId w:val="18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786377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786377">
        <w:rPr>
          <w:rFonts w:ascii="Times New Roman" w:hAnsi="Times New Roman" w:cs="Times New Roman"/>
          <w:b w:val="0"/>
          <w:sz w:val="28"/>
          <w:szCs w:val="28"/>
        </w:rPr>
        <w:t>Сясьстройским</w:t>
      </w:r>
      <w:proofErr w:type="spellEnd"/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 городским поселением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lastRenderedPageBreak/>
        <w:t>От точки 117 до точки 144 по границе полосы отвода железной дороги Санкт-Петербург - Мга - Волховстрой - Лодейное Поле - Подпорожье - Петрозаводск - Мурманск.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377">
        <w:rPr>
          <w:rFonts w:ascii="Times New Roman" w:hAnsi="Times New Roman" w:cs="Times New Roman"/>
          <w:sz w:val="28"/>
          <w:szCs w:val="28"/>
        </w:rPr>
        <w:t>От точки 144 до точки 155, не пересекая полосу отвода железной дороги Санкт-Петербург - Мга - Волховстрой - Лодейное Поле - Подпорожье - Петрозаводск - Мурманск, по линиям, последовательно соединяющим точки, до полосы отвода железной дороги Санкт-Петербург - Мга - Волховстрой - Лодейное Поле - Подпорожье - Петрозаводск - Мурманск, не пересекая ее.</w:t>
      </w:r>
      <w:proofErr w:type="gramEnd"/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>От точки 155 до точки 161 по границе полосы отвода железной дороги Санкт-Петербург - Мга - Волховстрой - Лодейное Поле - Подпорожье - Петрозаводск - Мурманск.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 xml:space="preserve">От точки 161 до точки 199, не пересекая полосу отвода железной дороги Санкт-Петербург - Мга - Волховстрой - Лодейное Поле - Подпорожье - Петрозаводск - Мурманск, по границам лесных кварталов 44, 39, 30, 17, 16, 10, 9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>От точки 199 до точки 200 по линии, соединяющей точки, до береговой линии Ладожского озера.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>От точки 200 до точки 201 по линии, соединяющей точки, по акватории Ладожского озера.</w:t>
      </w:r>
    </w:p>
    <w:p w:rsidR="00786377" w:rsidRPr="00786377" w:rsidRDefault="00786377" w:rsidP="00786377">
      <w:pPr>
        <w:pStyle w:val="ConsPlusTitle"/>
        <w:numPr>
          <w:ilvl w:val="0"/>
          <w:numId w:val="18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786377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786377">
        <w:rPr>
          <w:rFonts w:ascii="Times New Roman" w:hAnsi="Times New Roman" w:cs="Times New Roman"/>
          <w:b w:val="0"/>
          <w:sz w:val="28"/>
          <w:szCs w:val="28"/>
        </w:rPr>
        <w:t>Потанинским</w:t>
      </w:r>
      <w:proofErr w:type="spellEnd"/>
      <w:r w:rsidRPr="00786377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>От точки 201 до точки 202 по линии, соединяющей точки, по акватории Ладожского озера.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 xml:space="preserve">От точки 202 до точки 208 по линиям, последовательно соединяющим точки, до границы лесного квартала 95 Пашского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 xml:space="preserve">От точки 208 до точки 236 по границам лесных кварталов 95, 123, 96, 97, 105 Пашского участкового лесничества </w:t>
      </w:r>
      <w:proofErr w:type="spellStart"/>
      <w:r w:rsidRPr="0078637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86377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786377" w:rsidRPr="00786377" w:rsidRDefault="00786377" w:rsidP="00786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7">
        <w:rPr>
          <w:rFonts w:ascii="Times New Roman" w:hAnsi="Times New Roman" w:cs="Times New Roman"/>
          <w:sz w:val="28"/>
          <w:szCs w:val="28"/>
        </w:rPr>
        <w:t>От точки 236 до точки 1 по линиям, последовательно соединяющим точки.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E93FA0" w:rsidRPr="00786377" w:rsidRDefault="00D51927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Антипово</w:t>
      </w:r>
      <w:proofErr w:type="spellEnd"/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Дрюневщина</w:t>
      </w:r>
      <w:proofErr w:type="spellEnd"/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Жуковщина</w:t>
      </w:r>
      <w:proofErr w:type="spellEnd"/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Заречье</w:t>
      </w:r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Лунгачи</w:t>
      </w:r>
      <w:proofErr w:type="spellEnd"/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Низино</w:t>
      </w:r>
      <w:proofErr w:type="spellEnd"/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Остров, Свирь-Городок</w:t>
      </w:r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Телжево</w:t>
      </w:r>
      <w:proofErr w:type="spellEnd"/>
    </w:p>
    <w:p w:rsidR="00E93FA0" w:rsidRPr="00786377" w:rsidRDefault="00E93FA0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931CB" w:rsidRPr="00786377" w:rsidRDefault="00E931CB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hAnsi="Times New Roman" w:cs="Times New Roman"/>
          <w:b w:val="0"/>
          <w:i/>
          <w:sz w:val="28"/>
          <w:szCs w:val="28"/>
        </w:rPr>
        <w:t>Поселк</w:t>
      </w:r>
      <w:r w:rsidR="00786377">
        <w:rPr>
          <w:rFonts w:ascii="Times New Roman" w:hAnsi="Times New Roman" w:cs="Times New Roman"/>
          <w:b w:val="0"/>
          <w:i/>
          <w:sz w:val="28"/>
          <w:szCs w:val="28"/>
        </w:rPr>
        <w:t>ов</w:t>
      </w:r>
      <w:r w:rsidR="00E93FA0" w:rsidRPr="00786377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="00663238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Лунгачи</w:t>
      </w:r>
      <w:proofErr w:type="spellEnd"/>
      <w:r w:rsidR="00786377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поселок при железнодорожной станции</w:t>
      </w:r>
      <w:r w:rsidR="00786377">
        <w:rPr>
          <w:rFonts w:ascii="Times New Roman" w:hAnsi="Times New Roman" w:cs="Times New Roman"/>
          <w:b w:val="0"/>
          <w:sz w:val="28"/>
          <w:szCs w:val="28"/>
        </w:rPr>
        <w:t>,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>Селиваново</w:t>
      </w:r>
      <w:proofErr w:type="spellEnd"/>
    </w:p>
    <w:p w:rsidR="00E93FA0" w:rsidRPr="00786377" w:rsidRDefault="00E93FA0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C207D1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942C4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1B77B7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467922" w:rsidRDefault="00E93FA0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786377">
        <w:rPr>
          <w:rFonts w:ascii="Times New Roman" w:eastAsia="Calibri" w:hAnsi="Times New Roman" w:cs="Times New Roman"/>
          <w:b/>
          <w:bCs/>
          <w:sz w:val="28"/>
          <w:szCs w:val="28"/>
        </w:rPr>
        <w:t>еливановского</w:t>
      </w:r>
      <w:proofErr w:type="spellEnd"/>
      <w:r w:rsidR="00737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 w:rsidR="00737D4F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737D4F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D57" w:rsidRPr="00AD409D" w:rsidRDefault="0078637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6450" cy="5886450"/>
            <wp:effectExtent l="0" t="0" r="0" b="0"/>
            <wp:docPr id="3" name="Рисунок 3" descr="C:\Users\user\Downloads\_1.-karta-oks.-karta-fz.-m-25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_1.-karta-oks.-karta-fz.-m-25-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71" cy="58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CD" w:rsidRDefault="00CA7ACD" w:rsidP="009C1EDA">
      <w:pPr>
        <w:spacing w:after="0" w:line="240" w:lineRule="auto"/>
      </w:pPr>
      <w:r>
        <w:separator/>
      </w:r>
    </w:p>
  </w:endnote>
  <w:endnote w:type="continuationSeparator" w:id="0">
    <w:p w:rsidR="00CA7ACD" w:rsidRDefault="00CA7ACD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CD" w:rsidRDefault="00CA7ACD" w:rsidP="009C1EDA">
      <w:pPr>
        <w:spacing w:after="0" w:line="240" w:lineRule="auto"/>
      </w:pPr>
      <w:r>
        <w:separator/>
      </w:r>
    </w:p>
  </w:footnote>
  <w:footnote w:type="continuationSeparator" w:id="0">
    <w:p w:rsidR="00CA7ACD" w:rsidRDefault="00CA7ACD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82D"/>
    <w:multiLevelType w:val="hybridMultilevel"/>
    <w:tmpl w:val="627A6D98"/>
    <w:lvl w:ilvl="0" w:tplc="A1AE3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F174D"/>
    <w:multiLevelType w:val="hybridMultilevel"/>
    <w:tmpl w:val="F474BD8C"/>
    <w:lvl w:ilvl="0" w:tplc="A9D87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4323"/>
    <w:multiLevelType w:val="hybridMultilevel"/>
    <w:tmpl w:val="B032DA06"/>
    <w:lvl w:ilvl="0" w:tplc="8D22B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DF3DC2"/>
    <w:multiLevelType w:val="hybridMultilevel"/>
    <w:tmpl w:val="6D8899BE"/>
    <w:lvl w:ilvl="0" w:tplc="E3F8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445D4A"/>
    <w:multiLevelType w:val="hybridMultilevel"/>
    <w:tmpl w:val="3B488ECE"/>
    <w:lvl w:ilvl="0" w:tplc="BBDA3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0979"/>
    <w:multiLevelType w:val="hybridMultilevel"/>
    <w:tmpl w:val="16540CF6"/>
    <w:lvl w:ilvl="0" w:tplc="7CCE5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8677E"/>
    <w:multiLevelType w:val="hybridMultilevel"/>
    <w:tmpl w:val="81621818"/>
    <w:lvl w:ilvl="0" w:tplc="3E06D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6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06EE0"/>
    <w:rsid w:val="000346C6"/>
    <w:rsid w:val="000C4E02"/>
    <w:rsid w:val="000D49CC"/>
    <w:rsid w:val="000F335E"/>
    <w:rsid w:val="00112B8F"/>
    <w:rsid w:val="00132941"/>
    <w:rsid w:val="001340D8"/>
    <w:rsid w:val="00147DBB"/>
    <w:rsid w:val="001707A2"/>
    <w:rsid w:val="001B5C12"/>
    <w:rsid w:val="001B77B7"/>
    <w:rsid w:val="001C0934"/>
    <w:rsid w:val="001C5BAC"/>
    <w:rsid w:val="001D3268"/>
    <w:rsid w:val="001E3331"/>
    <w:rsid w:val="001E74A0"/>
    <w:rsid w:val="00273663"/>
    <w:rsid w:val="00280159"/>
    <w:rsid w:val="00307658"/>
    <w:rsid w:val="00330AD7"/>
    <w:rsid w:val="003679B9"/>
    <w:rsid w:val="0037243F"/>
    <w:rsid w:val="0038497B"/>
    <w:rsid w:val="00387AF4"/>
    <w:rsid w:val="003C192C"/>
    <w:rsid w:val="003D24B8"/>
    <w:rsid w:val="004120B2"/>
    <w:rsid w:val="0044720E"/>
    <w:rsid w:val="00464B46"/>
    <w:rsid w:val="00467922"/>
    <w:rsid w:val="0048505A"/>
    <w:rsid w:val="004A4161"/>
    <w:rsid w:val="004C18F1"/>
    <w:rsid w:val="004C360E"/>
    <w:rsid w:val="00553046"/>
    <w:rsid w:val="00565349"/>
    <w:rsid w:val="00581FA9"/>
    <w:rsid w:val="00591EE8"/>
    <w:rsid w:val="005F4A0B"/>
    <w:rsid w:val="00603536"/>
    <w:rsid w:val="00617D53"/>
    <w:rsid w:val="00663238"/>
    <w:rsid w:val="0071287F"/>
    <w:rsid w:val="00737D4F"/>
    <w:rsid w:val="00786377"/>
    <w:rsid w:val="007C404F"/>
    <w:rsid w:val="007D369F"/>
    <w:rsid w:val="0084149E"/>
    <w:rsid w:val="00870FC9"/>
    <w:rsid w:val="00894CF8"/>
    <w:rsid w:val="008B2B7D"/>
    <w:rsid w:val="008C2DE2"/>
    <w:rsid w:val="009260C3"/>
    <w:rsid w:val="00931E60"/>
    <w:rsid w:val="00942C40"/>
    <w:rsid w:val="00985420"/>
    <w:rsid w:val="009B4D57"/>
    <w:rsid w:val="009C1EDA"/>
    <w:rsid w:val="009E1328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46572"/>
    <w:rsid w:val="00B64D2A"/>
    <w:rsid w:val="00B778F5"/>
    <w:rsid w:val="00B92215"/>
    <w:rsid w:val="00BA448A"/>
    <w:rsid w:val="00BB6148"/>
    <w:rsid w:val="00BE334B"/>
    <w:rsid w:val="00C207D1"/>
    <w:rsid w:val="00C30214"/>
    <w:rsid w:val="00C667B4"/>
    <w:rsid w:val="00CA7ACD"/>
    <w:rsid w:val="00CB370F"/>
    <w:rsid w:val="00CE2429"/>
    <w:rsid w:val="00D31B80"/>
    <w:rsid w:val="00D51927"/>
    <w:rsid w:val="00D61F4E"/>
    <w:rsid w:val="00DA1D6F"/>
    <w:rsid w:val="00DC3013"/>
    <w:rsid w:val="00DD33D0"/>
    <w:rsid w:val="00DE6998"/>
    <w:rsid w:val="00E04648"/>
    <w:rsid w:val="00E15D7F"/>
    <w:rsid w:val="00E31AF0"/>
    <w:rsid w:val="00E40658"/>
    <w:rsid w:val="00E47D9C"/>
    <w:rsid w:val="00E71FC8"/>
    <w:rsid w:val="00E931CB"/>
    <w:rsid w:val="00E93FA0"/>
    <w:rsid w:val="00EA1E51"/>
    <w:rsid w:val="00EA7DA1"/>
    <w:rsid w:val="00ED0D94"/>
    <w:rsid w:val="00F05682"/>
    <w:rsid w:val="00F276C3"/>
    <w:rsid w:val="00F70DEB"/>
    <w:rsid w:val="00F86D79"/>
    <w:rsid w:val="00FA210F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3C2C-595D-4934-A5CC-4629DBD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47</cp:revision>
  <cp:lastPrinted>2021-12-24T11:14:00Z</cp:lastPrinted>
  <dcterms:created xsi:type="dcterms:W3CDTF">2019-10-14T06:46:00Z</dcterms:created>
  <dcterms:modified xsi:type="dcterms:W3CDTF">2023-09-06T15:00:00Z</dcterms:modified>
</cp:coreProperties>
</file>